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5</w:t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  <w:highlight w:val="none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металл-металл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80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</w:t>
      </w:r>
      <w:r>
        <w:rPr>
          <w:rFonts w:ascii="Arial" w:hAnsi="Arial"/>
          <w:bCs/>
          <w:sz w:val="20"/>
          <w:szCs w:val="20"/>
        </w:rPr>
        <w:t xml:space="preserve">6</w:t>
      </w:r>
      <w:r/>
    </w:p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  <w:highlight w:val="none"/>
        </w:rPr>
      </w:r>
      <w:r>
        <w:rPr>
          <w:rFonts w:ascii="Arial" w:hAnsi="Arial"/>
          <w:bCs/>
          <w:sz w:val="20"/>
          <w:szCs w:val="20"/>
          <w:highlight w:val="none"/>
        </w:rPr>
      </w:r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80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205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 сточные воды хозбыт канализации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Чистая 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Двухстороннее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Полнопроходная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Фланцевое прижимное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Выдвижной шпиндель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+15 до +25°С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коррозионно-стойкая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</w:t>
            </w:r>
            <w:r>
              <w:rPr>
                <w:rFonts w:ascii="Arial" w:hAnsi="Arial"/>
                <w:sz w:val="18"/>
                <w:szCs w:val="18"/>
              </w:rPr>
              <w:t xml:space="preserve">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сталь или 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обесцинкованная бронза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обесцинкованная бронза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штока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регулируемое уплотнение шпинделя с сальником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коррозионно-стойкая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</w:t>
            </w: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мес.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  <w:t xml:space="preserve">00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Ревенко Роман Александрович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Начальник УпоЭВОС-2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+79226555427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lang w:val="en-US"/>
              </w:rPr>
            </w:r>
            <w:r>
              <w:rPr>
                <w:rFonts w:ascii="Arial" w:hAnsi="Arial"/>
                <w:sz w:val="18"/>
                <w:szCs w:val="17"/>
                <w:lang w:val="en-US"/>
              </w:rPr>
              <w:t xml:space="preserve">revenko_ra@nvcs.ru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</w:p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2022-01-11T11:19:07Z</dcterms:modified>
</cp:coreProperties>
</file>